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FD7" w:rsidRPr="008A2FD7" w:rsidRDefault="008A2FD7" w:rsidP="008A2FD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b/>
          <w:color w:val="1B1B1B"/>
          <w:sz w:val="24"/>
          <w:szCs w:val="24"/>
          <w:lang w:eastAsia="pl-PL"/>
        </w:rPr>
        <w:t>Warunkiem udziału w Programie </w:t>
      </w: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placówki wychowania przedszkolnego</w:t>
      </w:r>
      <w:r w:rsidRPr="008A2FD7">
        <w:rPr>
          <w:rFonts w:eastAsia="Times New Roman" w:cstheme="minorHAnsi"/>
          <w:b/>
          <w:color w:val="1B1B1B"/>
          <w:sz w:val="24"/>
          <w:szCs w:val="24"/>
          <w:lang w:eastAsia="pl-PL"/>
        </w:rPr>
        <w:t> jest:</w:t>
      </w:r>
    </w:p>
    <w:p w:rsidR="008A2FD7" w:rsidRPr="008A2FD7" w:rsidRDefault="008A2FD7" w:rsidP="008A2FD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wskazanie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, w jaki sposób nauczyciele zostaną przygotowani do efektywnego wykorzystania wsparcia otrzymanego w ramach Programu;</w:t>
      </w:r>
    </w:p>
    <w:p w:rsidR="008A2FD7" w:rsidRPr="008A2FD7" w:rsidRDefault="008A2FD7" w:rsidP="008A2FD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wskazanie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, w jakim zakresie wsparcie otrzymane w ramach Programu przyczyni się do realizacji zadań placówki wychowania przedszkolnego wynikających z podstawy programowej wychowania przedszkolnego.</w:t>
      </w:r>
    </w:p>
    <w:p w:rsidR="008A2FD7" w:rsidRPr="008A2FD7" w:rsidRDefault="008A2FD7" w:rsidP="008A2FD7">
      <w:pPr>
        <w:shd w:val="clear" w:color="auto" w:fill="FFFFFF"/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Pytania</w:t>
      </w:r>
      <w:r w:rsidR="00A6106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i Odpowiedzi</w:t>
      </w:r>
      <w:bookmarkStart w:id="0" w:name="_GoBack"/>
      <w:bookmarkEnd w:id="0"/>
    </w:p>
    <w:p w:rsidR="008A2FD7" w:rsidRPr="008A2FD7" w:rsidRDefault="008A2FD7" w:rsidP="008A2FD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Jeżeli mamy zespół szkół - w nim osobno przedszkole i osobno szkoła (mają oddzielne RSPO) to jeżeli przedszkole weźmie udział w projekcie Cyfryzacji przedszkoli to czy szkoła może brać w programie Cyfrowy uczeń?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Tak, skorzystanie przez przedszkole ze wsparcia, oferowanego w ramach inwestycji C2.1.3 KPO, pozwala szkole wziąć udział w programie „Cyfrowy uczeń”.</w:t>
      </w:r>
    </w:p>
    <w:p w:rsidR="008A2FD7" w:rsidRPr="008A2FD7" w:rsidRDefault="008A2FD7" w:rsidP="008A2FD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Jeżeli mamy szkołę podstawową z oddziałem przedszkolnym (jedno wspólne RSPO) i wezmą udział w projekcie Cyfryzacji Przedszkoli to czy mogą później wziąć udział w programie Cyfrowy uczeń?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Tak, skorzystanie przez funkcjonujący w danej szkole podstawowej oddział wychowania przedszkolnego ze wsparcia, oferowanego w ramach inwestycji C2.1.3 KPO, umożliwia temu oddziałowi wychowania przedszkolnego i szkole podstawowej, w której funkcjonuje, skorzystanie z programu „Cyfrowy uczeń”.</w:t>
      </w:r>
    </w:p>
    <w:p w:rsidR="008A2FD7" w:rsidRPr="008A2FD7" w:rsidRDefault="008A2FD7" w:rsidP="008A2FD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jeżeli placówka wychowania przedszkolnego weźmie udział w projekcie finansowanym z KPO dotyczącym Cyfryzacji przedszkoli może brać udział w programie Cyfrowy uczeń w 2026 r.?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Tak, taka placówka wychowania przedszkolnego może wziąć udział w  programie „Cyfrowy uczeń” w 2026 r. lub w kolejnych latach i jednokrotnie otrzymać wsparcie finansowe.</w:t>
      </w:r>
    </w:p>
    <w:p w:rsidR="008A2FD7" w:rsidRPr="008A2FD7" w:rsidRDefault="008A2FD7" w:rsidP="008A2F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 szkole podstawowej jest oddział przedszkolny ale jest jeden numer RSPO. Należy dodać, że w latach ubiegłych szkoła dostała środki z programu Aktywna tablica i Laboratoria przyszłości.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Nie wyklucza możliwości udziału szkoły w programie „Cyfrowy uczeń”, pod warunkiem, że pomoce dydaktyczne lub sprzęt planowane do zakupu w ramach programu „Cyfrowy uczeń”, będą inne, niż w ww. programach.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Oddział wychowania przedszkolnego również może wziąć udział w programie „Cyfrowy uczeń” i zakupić sprzęt, przeznaczony dla placówek wychowania przedszkolnego.</w:t>
      </w:r>
    </w:p>
    <w:p w:rsidR="008A2FD7" w:rsidRPr="008A2FD7" w:rsidRDefault="008A2FD7" w:rsidP="008A2FD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placówka wychowania przedszkolnego może zakupić „magiczny dywan”/”magiczną podłogę”?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Nie, wsparcie finansowe w odniesieniu do placówki wychowania przedszkolnego może być udzielone na zakup:</w:t>
      </w:r>
    </w:p>
    <w:p w:rsidR="008A2FD7" w:rsidRPr="008A2FD7" w:rsidRDefault="008A2FD7" w:rsidP="008A2FD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sprzętu komputerowego (w tym komputerów stacjonarnych, pracowni terminalowych, laptopów, laptopów przeglądarkowych, tabletów), specjalistycznego oprogramowania, materiałów edukacyjnych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, o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których mowa w art. 3 pkt 24 ustawy z dnia 7 września 1991 r. o systemie oświaty, w postaci elektronicznej lub materiały ćwiczeniowe, o których mowa w </w:t>
      </w: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art. 3 pkt 25 tej ustawy, w postaci elektronicznej, </w:t>
      </w: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wykorzystywanych do użytku służbowego nauczyciela</w:t>
      </w: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;</w:t>
      </w:r>
    </w:p>
    <w:p w:rsidR="008A2FD7" w:rsidRPr="008A2FD7" w:rsidRDefault="008A2FD7" w:rsidP="008A2FD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sprzętu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komputerowego (w tym komputerów stacjonarnych, pracowni terminalowych, laptopów, laptopów przeglądarkowych, tabletów), specjalistycznego oprogramowania, cyfrowych materiałów edukacyjnych lub cyfrowych materiałów ćwiczeniowych, wykorzystywanych do bezpośredniej pracy z dziećmi wyłącznie w przypadku prowadzenia zajęć z dziećmi ze specjalnymi potrzebami edukacyjnymi.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Pomoc dydaktyczna oferowana pod nazwą „magiczny dywan” lub „magiczna podłoga” nie jest wymieniona w rozporządzeniu.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Należy też wskazać, że zakupiony sprzęt komputerowy, jeśli to go dotyczy, musi spełniać wymagania, o których mowa w przepisach, wydanych na podstawie art. 29 ust. 3 ustawy z dnia 26 stycznia 1982 r. – Karta Nauczyciela – czyli w rozporządzeniu Ministra Edukacji Narodowej z dnia 17 grudnia 2010 r. w sprawie podstawowych warunków niezbędnych do realizacji przez szkoły i nauczycieli zadań dydaktycznych, wychowawczych i opiekuńczych oraz programów nauczania (Dz. U. 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2024 r. poz. 9 z późn.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zm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.).</w:t>
      </w:r>
    </w:p>
    <w:p w:rsidR="008A2FD7" w:rsidRPr="008A2FD7" w:rsidRDefault="008A2FD7" w:rsidP="008A2FD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placówka wychowania przedszkolnego może zakupić monitor interaktywny z wbudowanym OPS?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Monitor interaktywny z wbudowanym OPS (Open </w:t>
      </w:r>
      <w:proofErr w:type="spell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Pluggable</w:t>
      </w:r>
      <w:proofErr w:type="spell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proofErr w:type="spell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Specification</w:t>
      </w:r>
      <w:proofErr w:type="spellEnd"/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) to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 modułowy, kompaktowy zestaw komputerowy, którego rozporządzenie nie przewiduje do zakupu z dotacji, placówki wychowania przedszkolnego mogą zakupić ten zestaw z wkładu własnego i wykazać jako rzeczowy wkład własny.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Należy też wskazać, że zakupiony sprzęt komputerowy, jeśli go to dotyczy, musi spełniać wymagania, o których mowa w przepisach, wydanych na podstawie art. 29 ust. 3 ustawy z dnia 26 stycznia 1982 r. – Karta Nauczyciela – czyli w rozporządzeniu Ministra Edukacji Narodowej z dnia 17 grudnia 2010 r. w sprawie podstawowych warunków niezbędnych do realizacji przez szkoły i nauczycieli zadań dydaktycznych, wychowawczych i opiekuńczych oraz programów nauczania (Dz. U. 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2024 r. poz. 9 z późn.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zm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.).</w:t>
      </w:r>
    </w:p>
    <w:p w:rsidR="008A2FD7" w:rsidRPr="008A2FD7" w:rsidRDefault="008A2FD7" w:rsidP="008A2F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Czy placówka wychowania przedszkolnego może zakupić  jakiś program np. </w:t>
      </w:r>
      <w:proofErr w:type="spellStart"/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Photon</w:t>
      </w:r>
      <w:proofErr w:type="spellEnd"/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, i do tego oprogramowanie, oraz inne elementy to czy to też może podlegać finansowaniu w ramach programu?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To, o czym mowa w pytaniu, może być zakupione w ramach wkładu własnego i wykazane jako rzeczowy wkład własny.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Ze środków otrzymanych w ramach programu placówka wychowania przedszkolnego może zakupić:</w:t>
      </w:r>
    </w:p>
    <w:p w:rsidR="008A2FD7" w:rsidRPr="008A2FD7" w:rsidRDefault="008A2FD7" w:rsidP="008A2FD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 sprzęt komputerowy (w tym komputery stacjonarne, pracownie terminalowe, laptopy, laptopy przeglądarkowe, tablety), specjalistyczne oprogramowanie, materiały edukacyjne, o których mowa w art. 3 pkt 24 ustawy z dnia 7 września 1991 r. o systemie oświaty, w postaci elektronicznej, lub materiały ćwiczeniowe, o których mowa w art. 3 pkt 25 tej ustawy, w postaci elektronicznej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,  wykorzystywane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użytku służbowego nauczyciela;</w:t>
      </w:r>
    </w:p>
    <w:p w:rsidR="008A2FD7" w:rsidRPr="008A2FD7" w:rsidRDefault="008A2FD7" w:rsidP="008A2FD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sprzęt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komputerowy (w tym komputery stacjonarne, pracownie terminalowe, laptopy, laptopy przeglądarkowe, tablety), specjalistyczne oprogramowanie, cyfrowe materiały edukacyjne lub cyfrowe materiały ćwiczeniowe, wykorzystywane do bezpośredniej pracy z </w:t>
      </w: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dziećmi wyłącznie w przypadku prowadzenia zajęć z dziećmi ze specjalnymi potrzebami edukacyjnymi.</w:t>
      </w:r>
    </w:p>
    <w:p w:rsidR="008A2FD7" w:rsidRPr="008A2FD7" w:rsidRDefault="008A2FD7" w:rsidP="008A2FD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placówka wychowania przedszkolnego może zakupić klocki Lego z wbudowanym modułem AI?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Nie, placówka wychowania przedszkolnego nie może zakupić klocków Lego z wbudowanym modułem AI z dotacji. Nie jest to pomoc określona w rozporządzeniu.</w:t>
      </w:r>
    </w:p>
    <w:p w:rsidR="008A2FD7" w:rsidRPr="008A2FD7" w:rsidRDefault="008A2FD7" w:rsidP="008A2FD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Kto ponosi odpowiedzialność za zakup sprzętu niekwalifikowalnego w ramach programu? Kto i w jaki sposób będzie kontrolował zgodność zakupów z zasadami programu oraz jakie mogą być konsekwencje dokonania zakupu niezgodnego z wytycznymi?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Wojewoda udziela dotacji organom prowadzącym placówki wychowania przedszkolnego, szkoły lub placówki zakwalifikowane do objęcia wsparciem finansowym, o których mowa w § 7 ust. 1 pkt 1–3 rozporządzenia, na podstawie umowy zawartej z organem prowadzącym zgodnie z art. 150 ustawy z dnia 27 sierpnia 2009 r. o finansach publicznych (Dz. U. 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2024 r. poz. 1530, z </w:t>
      </w:r>
      <w:proofErr w:type="spell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późn</w:t>
      </w:r>
      <w:proofErr w:type="spell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. 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zm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.2).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Tym samym to wojewoda kontroluje sposób i terminowość wykonania zadań, na które została przyznana dotacja, mając na uwadze postanowienia umowy.</w:t>
      </w:r>
    </w:p>
    <w:p w:rsidR="008A2FD7" w:rsidRPr="008A2FD7" w:rsidRDefault="008A2FD7" w:rsidP="008A2FD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liczba i wartość zakupów finansowanych z dotacji musi w 100% odpowiadać wartościom podanym we wniosku o udział w programie, czy dopuszcza się pewne odstępstwa? Od momentu złożenia wniosku do realizacji zakupów mija często kilka miesięcy, w czasie których mogą zmienić się ceny rynkowe. Jak należy postąpić w takiej sytuacji?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Rozporządzenie Rady Ministrów z dnia 17 września 2025 r. w sprawie szczegółowych warunków, form i trybu realizacji Rządowego programu wspierania organów prowadzących szkoły i placówki w rozwijaniu umiejętności cyfrowych dzieci i młodzieży na lata 2025–2029 – „Cyfrowy Uczeń” (Dz.U. 2025 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poz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. 1254) stanowi, iż wniosek o udział w programie „Cyfrowy uczeń” zawiera kalkulację kosztów planowanego w ramach Programu zakupu sprzętu, pomocy dydaktycznych lub narzędzi określonych w programie, zatem kwoty zakupu mogą ulec zmianie. W przypadku ich zwiększenia – organ dokłada brakującą kwotę</w:t>
      </w: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, w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przypadku zmniejszenia - dotacja zostaje zwrócona do wojewody na warunkach i w terminie określonym umową.</w:t>
      </w:r>
    </w:p>
    <w:p w:rsidR="008A2FD7" w:rsidRPr="008A2FD7" w:rsidRDefault="008A2FD7" w:rsidP="008A2FD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Co w przypadku, gdy jednostka przeszacowała ceny i za przyznaną kwotę dotacji nie jest w stanie zakupić takiej liczby sprzętu, jaka została wskazana we wniosku?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Powyższy przypadek stanowi niedoszacowanie zakupu sprzętu, pomocy dydaktycznych lub narzędzi określonych w programie. Organ prowadzący podejmuje zatem decyzję jak powyżej – zwiększa finansowy wkład własny w celu zakupienia wskazanych we wniosku pomocy dydaktycznych, sprzętu, narzędzi lub oprogramowania.</w:t>
      </w:r>
    </w:p>
    <w:p w:rsidR="008A2FD7" w:rsidRPr="008A2FD7" w:rsidRDefault="008A2FD7" w:rsidP="008A2FD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Co należy rozumieć pod pojęciami: „specjalistyczne oprogramowanie” oraz „cyfrowe materiały edukacyjne i ćwiczeniowe”, które można nabywać w ramach dotacji dla placówek przedszkolnych?.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Cyfrowe materiały edukacyjne lub cyfrowe materiały ćwiczeniowe są to materiały w postaci elektronicznej, o których mowa odpowiednio w art. 3 pkt 24 ustawy z dnia 7 września 1991 r. o systemie oświaty, art. 3 pkt 25 tej ustawy.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Przez specjalistyczne oprogramowanie rozumiemy np.:</w:t>
      </w:r>
    </w:p>
    <w:p w:rsidR="008A2FD7" w:rsidRPr="008A2FD7" w:rsidRDefault="008A2FD7" w:rsidP="008A2FD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aplikacje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tworzenia prezentacji;</w:t>
      </w:r>
    </w:p>
    <w:p w:rsidR="008A2FD7" w:rsidRPr="008A2FD7" w:rsidRDefault="008A2FD7" w:rsidP="008A2FD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aplikacje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tworzenia i edycji grafiki rastrowej;</w:t>
      </w:r>
    </w:p>
    <w:p w:rsidR="008A2FD7" w:rsidRPr="008A2FD7" w:rsidRDefault="008A2FD7" w:rsidP="008A2FD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aplikacja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tworzenia i edycji grafiki wektorowej;</w:t>
      </w:r>
    </w:p>
    <w:p w:rsidR="008A2FD7" w:rsidRPr="008A2FD7" w:rsidRDefault="008A2FD7" w:rsidP="008A2FD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edytor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wideo;</w:t>
      </w:r>
    </w:p>
    <w:p w:rsidR="008A2FD7" w:rsidRPr="008A2FD7" w:rsidRDefault="008A2FD7" w:rsidP="008A2FD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proofErr w:type="gramStart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edytor</w:t>
      </w:r>
      <w:proofErr w:type="gramEnd"/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dźwięku.</w:t>
      </w:r>
    </w:p>
    <w:p w:rsidR="008A2FD7" w:rsidRPr="008A2FD7" w:rsidRDefault="008A2FD7" w:rsidP="008A2F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dopuszczalne jest dokonanie zakupu sprzętu (np. komputerów) w innej liczbie niż zadeklarowana we wniosku, w części IV Kalkulacja zakupów w kolumnie „liczba sztuk”. 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W ramach dotacji oraz finansowego wkładu własnego dopuszcza się zakup większej liczby sprzętu, ale tylko tego , który został wskazany we wniosku.</w:t>
      </w:r>
    </w:p>
    <w:p w:rsidR="008A2FD7" w:rsidRPr="008A2FD7" w:rsidRDefault="008A2FD7" w:rsidP="008A2F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4A757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Czy można przyjąć, że liczba jeden we wniosku oznacza też jeden zestaw?</w:t>
      </w:r>
    </w:p>
    <w:p w:rsidR="008A2FD7" w:rsidRPr="008A2FD7" w:rsidRDefault="008A2FD7" w:rsidP="008A2FD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A2FD7">
        <w:rPr>
          <w:rFonts w:eastAsia="Times New Roman" w:cstheme="minorHAnsi"/>
          <w:color w:val="1B1B1B"/>
          <w:sz w:val="24"/>
          <w:szCs w:val="24"/>
          <w:lang w:eastAsia="pl-PL"/>
        </w:rPr>
        <w:t>W rozporządzeniu nie ma definicji zestawu i ze względu na fakt, że może być zdefiniowany jako komputer np. z „ magiczną podłogą” lub monitorem interaktywnym, to nie można przyjąć powyższego założenia.</w:t>
      </w:r>
    </w:p>
    <w:p w:rsidR="00777CA1" w:rsidRPr="004A757F" w:rsidRDefault="00A61065">
      <w:pPr>
        <w:rPr>
          <w:rFonts w:cstheme="minorHAnsi"/>
          <w:sz w:val="24"/>
          <w:szCs w:val="24"/>
        </w:rPr>
      </w:pPr>
    </w:p>
    <w:sectPr w:rsidR="00777CA1" w:rsidRPr="004A7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2F67"/>
    <w:multiLevelType w:val="multilevel"/>
    <w:tmpl w:val="89B6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2595A"/>
    <w:multiLevelType w:val="multilevel"/>
    <w:tmpl w:val="1E925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54BFC"/>
    <w:multiLevelType w:val="multilevel"/>
    <w:tmpl w:val="9C4EF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44C1A"/>
    <w:multiLevelType w:val="multilevel"/>
    <w:tmpl w:val="A6302C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C3431"/>
    <w:multiLevelType w:val="multilevel"/>
    <w:tmpl w:val="DA06AE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75005"/>
    <w:multiLevelType w:val="multilevel"/>
    <w:tmpl w:val="396A0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03F53"/>
    <w:multiLevelType w:val="multilevel"/>
    <w:tmpl w:val="45B23B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AA2A71"/>
    <w:multiLevelType w:val="multilevel"/>
    <w:tmpl w:val="BBF8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C2A06"/>
    <w:multiLevelType w:val="multilevel"/>
    <w:tmpl w:val="A158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4204E3"/>
    <w:multiLevelType w:val="multilevel"/>
    <w:tmpl w:val="435CB0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6091D"/>
    <w:multiLevelType w:val="multilevel"/>
    <w:tmpl w:val="A56A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400311"/>
    <w:multiLevelType w:val="multilevel"/>
    <w:tmpl w:val="BA5855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91301D"/>
    <w:multiLevelType w:val="multilevel"/>
    <w:tmpl w:val="10829B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5F07D6"/>
    <w:multiLevelType w:val="multilevel"/>
    <w:tmpl w:val="BFF6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BB04EC"/>
    <w:multiLevelType w:val="multilevel"/>
    <w:tmpl w:val="F20EC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423BB0"/>
    <w:multiLevelType w:val="multilevel"/>
    <w:tmpl w:val="2C24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5A3FAC"/>
    <w:multiLevelType w:val="multilevel"/>
    <w:tmpl w:val="F44C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5C5094"/>
    <w:multiLevelType w:val="multilevel"/>
    <w:tmpl w:val="0906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2A1BD0"/>
    <w:multiLevelType w:val="multilevel"/>
    <w:tmpl w:val="63B8F6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52142D"/>
    <w:multiLevelType w:val="multilevel"/>
    <w:tmpl w:val="4BBE1A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F3220"/>
    <w:multiLevelType w:val="multilevel"/>
    <w:tmpl w:val="695A12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AA55CB"/>
    <w:multiLevelType w:val="multilevel"/>
    <w:tmpl w:val="399EEB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7"/>
  </w:num>
  <w:num w:numId="5">
    <w:abstractNumId w:val="7"/>
  </w:num>
  <w:num w:numId="6">
    <w:abstractNumId w:val="16"/>
  </w:num>
  <w:num w:numId="7">
    <w:abstractNumId w:val="5"/>
  </w:num>
  <w:num w:numId="8">
    <w:abstractNumId w:val="2"/>
  </w:num>
  <w:num w:numId="9">
    <w:abstractNumId w:val="14"/>
  </w:num>
  <w:num w:numId="10">
    <w:abstractNumId w:val="4"/>
  </w:num>
  <w:num w:numId="11">
    <w:abstractNumId w:val="10"/>
  </w:num>
  <w:num w:numId="12">
    <w:abstractNumId w:val="9"/>
  </w:num>
  <w:num w:numId="13">
    <w:abstractNumId w:val="6"/>
  </w:num>
  <w:num w:numId="14">
    <w:abstractNumId w:val="15"/>
  </w:num>
  <w:num w:numId="15">
    <w:abstractNumId w:val="20"/>
  </w:num>
  <w:num w:numId="16">
    <w:abstractNumId w:val="12"/>
  </w:num>
  <w:num w:numId="17">
    <w:abstractNumId w:val="11"/>
  </w:num>
  <w:num w:numId="18">
    <w:abstractNumId w:val="3"/>
  </w:num>
  <w:num w:numId="19">
    <w:abstractNumId w:val="19"/>
  </w:num>
  <w:num w:numId="20">
    <w:abstractNumId w:val="0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D7"/>
    <w:rsid w:val="000923F0"/>
    <w:rsid w:val="000E092B"/>
    <w:rsid w:val="004A757F"/>
    <w:rsid w:val="008A2FD7"/>
    <w:rsid w:val="00A6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E39E"/>
  <w15:chartTrackingRefBased/>
  <w15:docId w15:val="{F5A7EF15-C95F-4F54-973B-F77582EC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2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A2FD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8A2FD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A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Zdziech</dc:creator>
  <cp:keywords/>
  <dc:description/>
  <cp:lastModifiedBy>Joanna Zdziech</cp:lastModifiedBy>
  <cp:revision>3</cp:revision>
  <dcterms:created xsi:type="dcterms:W3CDTF">2026-04-22T07:52:00Z</dcterms:created>
  <dcterms:modified xsi:type="dcterms:W3CDTF">2026-04-22T07:54:00Z</dcterms:modified>
</cp:coreProperties>
</file>